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5B2F" w:rsidRDefault="00E00843" w:rsidP="00E00843">
      <w:pPr>
        <w:pStyle w:val="normal"/>
        <w:ind w:left="-12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>
            <wp:extent cx="7604159" cy="104674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717" cy="10495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345B2F" w:rsidRDefault="00345B2F">
      <w:pPr>
        <w:pStyle w:val="normal"/>
        <w:spacing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2F" w:rsidRDefault="00345B2F">
      <w:pPr>
        <w:pStyle w:val="normal"/>
        <w:spacing w:line="19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2F" w:rsidRDefault="00E00843">
      <w:pPr>
        <w:pStyle w:val="normal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ПЕРЕДМОВА</w:t>
      </w:r>
    </w:p>
    <w:p w:rsidR="00345B2F" w:rsidRDefault="00345B2F">
      <w:pPr>
        <w:pStyle w:val="normal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E00843">
      <w:pPr>
        <w:pStyle w:val="normal"/>
        <w:spacing w:line="348" w:lineRule="auto"/>
        <w:ind w:left="260" w:right="-23" w:firstLine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кваліфікаційні, організаційні, навчальні та методичні вимоги до підготовки бакалаврів 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 Інформаційні технології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125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захист інформації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B2F" w:rsidRDefault="00E00843">
      <w:pPr>
        <w:pStyle w:val="normal"/>
        <w:spacing w:line="348" w:lineRule="auto"/>
        <w:ind w:left="260" w:firstLine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Освітньо-професійна програма заснована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підході підготовки фахівця в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 Інформаційні технології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125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захист інф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ормації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B2F" w:rsidRDefault="00345B2F">
      <w:pPr>
        <w:pStyle w:val="normal"/>
        <w:spacing w:line="348" w:lineRule="auto"/>
        <w:ind w:lef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B2F" w:rsidRDefault="00E00843">
      <w:pPr>
        <w:pStyle w:val="normal"/>
        <w:spacing w:line="348" w:lineRule="auto"/>
        <w:ind w:left="2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розроблена робочою групою ВНУ імені Лесі Українки у складі:</w:t>
      </w:r>
    </w:p>
    <w:p w:rsidR="00345B2F" w:rsidRDefault="00E00843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Людмила Ярославівна – кандидат фізико-математичних наук, доцент кафедри комп’ютерних наук та кібербезпеки</w:t>
      </w:r>
    </w:p>
    <w:p w:rsidR="00345B2F" w:rsidRDefault="00E00843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Жигаревич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 Костянтинівна - старший 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кладач кафедри комп’ютерних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кібербезпеки</w:t>
      </w:r>
    </w:p>
    <w:p w:rsidR="00345B2F" w:rsidRDefault="00E00843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Булатецька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Леся Віталіївна - кандидат фізико-математичних наук, доцент кафедри комп’ютерних наук та кібербезпеки</w:t>
      </w:r>
    </w:p>
    <w:p w:rsidR="00345B2F" w:rsidRDefault="00E00843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Мамчич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Тетяна Іванівна - кандидат фізико-математичних наук, доцент кафедри комп’ютерних наук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кібербезпеки</w:t>
      </w:r>
    </w:p>
    <w:p w:rsidR="00345B2F" w:rsidRDefault="00345B2F">
      <w:pPr>
        <w:pStyle w:val="normal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345B2F">
      <w:pPr>
        <w:pStyle w:val="normal"/>
        <w:spacing w:line="1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E00843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Рецензії та відгуки роботодавців,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 наявності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5B2F" w:rsidRDefault="00345B2F">
      <w:pPr>
        <w:pStyle w:val="normal"/>
        <w:spacing w:line="163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5B2F" w:rsidRDefault="00E00843">
      <w:pPr>
        <w:pStyle w:val="normal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Освітня програма погоджена вченою радою факультету інформаційних технологій і математики, схвалена науково-методичною комісією факультету інформаційних технологій і математики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затверджена Вченою радою Волинського національного університету імені Лесі Українки.</w:t>
      </w:r>
    </w:p>
    <w:p w:rsidR="00345B2F" w:rsidRDefault="00E00843">
      <w:pPr>
        <w:pStyle w:val="normal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розробки, експертизи, затвердження і внесення змін в освітню програму регулюється Порядком формування освітніх програм та навчальних планів підготовки фахівців за першим (бакалаврським) та другим (магістерським) рівнями в Волинському національному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>університеті імені Лесі Українки, затвердженим Вченою радою ВНУ імені Лесі Українки</w:t>
      </w:r>
      <w:bookmarkStart w:id="1" w:name="bookmark=id.1fob9te" w:colFirst="0" w:colLast="0"/>
      <w:bookmarkEnd w:id="1"/>
    </w:p>
    <w:p w:rsidR="00345B2F" w:rsidRDefault="00E00843">
      <w:pPr>
        <w:pStyle w:val="normal"/>
        <w:ind w:firstLine="708"/>
        <w:jc w:val="both"/>
        <w:rPr>
          <w:rFonts w:ascii="Times New Roman" w:eastAsia="Times New Roman" w:hAnsi="Times New Roman" w:cs="Times New Roman"/>
        </w:rPr>
        <w:sectPr w:rsidR="00345B2F" w:rsidSect="00E00843">
          <w:pgSz w:w="11906" w:h="16838"/>
          <w:pgMar w:top="142" w:right="506" w:bottom="1440" w:left="1440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Ця освітня програма не може бути повністю або частково відтворена, тиражована та розповсюджена без дозволу Волинського національного університету ім</w:t>
      </w:r>
      <w:r>
        <w:rPr>
          <w:rFonts w:ascii="Times New Roman" w:eastAsia="Times New Roman" w:hAnsi="Times New Roman" w:cs="Times New Roman"/>
          <w:sz w:val="28"/>
          <w:szCs w:val="28"/>
        </w:rPr>
        <w:t>ені Лесі Українки.</w:t>
      </w:r>
      <w:bookmarkStart w:id="2" w:name="bookmark=id.3znysh7" w:colFirst="0" w:colLast="0"/>
      <w:bookmarkEnd w:id="2"/>
    </w:p>
    <w:p w:rsidR="00345B2F" w:rsidRDefault="00E00843">
      <w:pPr>
        <w:pStyle w:val="normal"/>
        <w:numPr>
          <w:ilvl w:val="0"/>
          <w:numId w:val="2"/>
        </w:numPr>
        <w:tabs>
          <w:tab w:val="left" w:pos="980"/>
        </w:tabs>
        <w:ind w:left="980" w:hanging="3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Профіль освітньо-професійної програми зі спеціальності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125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захист інформації</w:t>
      </w:r>
    </w:p>
    <w:p w:rsidR="00345B2F" w:rsidRDefault="00345B2F">
      <w:pPr>
        <w:pStyle w:val="normal"/>
        <w:ind w:left="20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9272" w:type="dxa"/>
        <w:tblInd w:w="175" w:type="dxa"/>
        <w:tblLayout w:type="fixed"/>
        <w:tblLook w:val="0000"/>
      </w:tblPr>
      <w:tblGrid>
        <w:gridCol w:w="2869"/>
        <w:gridCol w:w="6403"/>
      </w:tblGrid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64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59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 з кібербезпеки та захисту інформації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59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Професійна кваліфікація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Фахівець сфери захисту інформації</w:t>
            </w:r>
          </w:p>
        </w:tc>
      </w:tr>
      <w:tr w:rsidR="00345B2F">
        <w:trPr>
          <w:trHeight w:val="707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захист інформації</w:t>
            </w:r>
          </w:p>
        </w:tc>
      </w:tr>
      <w:tr w:rsidR="00345B2F">
        <w:trPr>
          <w:trHeight w:val="7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диплому та обсяг</w:t>
            </w:r>
          </w:p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 програми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бакалавра, одиничний, 240 кредитів ЄКТС</w:t>
            </w:r>
          </w:p>
        </w:tc>
      </w:tr>
      <w:tr w:rsidR="00345B2F">
        <w:trPr>
          <w:trHeight w:val="91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Наявність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акредитації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Міністерство освіти і науки, молоді та спорту України</w:t>
            </w:r>
          </w:p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Україна</w:t>
            </w:r>
          </w:p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2012-2022 рр.</w:t>
            </w:r>
          </w:p>
        </w:tc>
      </w:tr>
      <w:tr w:rsidR="00345B2F">
        <w:trPr>
          <w:trHeight w:val="723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НРК України – 6 рівень, FQ-EHEA – перший цикл,</w:t>
            </w:r>
          </w:p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ЕQF-LLL – 6 рівень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64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загальна середня освіта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59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</w:tc>
      </w:tr>
      <w:tr w:rsidR="00345B2F">
        <w:trPr>
          <w:trHeight w:val="65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дії освітньої</w:t>
            </w:r>
          </w:p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роки 10 місяців</w:t>
            </w:r>
          </w:p>
        </w:tc>
      </w:tr>
      <w:tr w:rsidR="00345B2F">
        <w:trPr>
          <w:trHeight w:val="1318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Інтернет-адреса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76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https://vnu.edu.ua/uk/faculties-and-institutes/fakultet-informaciynikh-tekhnologiy-i-matematiki</w:t>
            </w:r>
          </w:p>
        </w:tc>
      </w:tr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– Мета освітньо-професійної програми</w:t>
            </w:r>
          </w:p>
        </w:tc>
      </w:tr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програма спрямована на підготовку фахівців, здатних розробляти, впроваджувати та супроводжувати системи захисту в інформаційно-телекомунікаційних технологіях, вирішувати прикладні і наукові завдання проектування та побудови комплексних систем захис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інформації, а також керування процесами управління інформаційною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різного роду загроз.</w:t>
            </w:r>
          </w:p>
        </w:tc>
      </w:tr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– Характеристика освітньо-професійної програми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ind w:left="1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 область (галузь знань, спеціальність)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Інформаційні технології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захист інформації </w:t>
            </w:r>
          </w:p>
        </w:tc>
      </w:tr>
      <w:tr w:rsidR="00345B2F"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</w:t>
            </w:r>
          </w:p>
        </w:tc>
      </w:tr>
      <w:tr w:rsidR="00345B2F">
        <w:trPr>
          <w:trHeight w:val="900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вища освіта першого (бакалаврського) рівня в галузі інформаційних технологій за спеціальністю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захист інформації».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слова: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" w:name="bookmark=id.1t3h5sf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кібернетична безпека, інформаційна безпека, забезпечення захисту інформації.</w:t>
            </w:r>
          </w:p>
        </w:tc>
      </w:tr>
      <w:tr w:rsidR="00345B2F">
        <w:trPr>
          <w:trHeight w:val="1022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Академічні та професійн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права випускників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Мають право продовжити навчання на другому (магістерському) рівні вищої освіти. Набуття додаткових кваліфікацій в системі післядипломної освіти.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bookmark=id.4d34og8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Особливість програми полягає у врахуванні регіональних особливостей ринку праці, сформованого, переважно, представниками малого та середнього бізнесу, які зацікавленні у поєднанні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суміжних ІТ спеціальностей в одному фахівці. ОП покликана підгот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увати фахівців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спроможні також поєднати функції системного адміністратора, інженера з комп’ютерних систем тощо.</w:t>
            </w:r>
          </w:p>
        </w:tc>
      </w:tr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– Придатність випускників до працевлаштування та подальшого навчання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Працевлаштування в організаціях та підприємствах будь-якої форми власності на посадах (згідно з чинною редакцією Національного класифікатора України: Класифікатор професій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003:2010):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1495 менеджер (управитель) систем з інформаційної безпеки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1229.7 кері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вник (директор, начальник та ін.) підрозділу (служби, управління, департаменту та ін.) з безпеки (фінансово-економічної, інформаційної)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210.1 керівник підприємства (установи, організації) (сфера захисту інформації)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226.2 керівник структурного підрозділу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фера захисту інформації)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2149.2 фахівець (сфера захисту інформації)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3121 фахівець з інформаційних технологій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3439 фахівець із організації захисту інформації з обмеженим доступом</w:t>
            </w:r>
          </w:p>
          <w:p w:rsidR="00345B2F" w:rsidRDefault="00E0084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3439 фахівець із організації інформаційної безпеки</w:t>
            </w:r>
          </w:p>
        </w:tc>
      </w:tr>
      <w:tr w:rsidR="00345B2F">
        <w:trPr>
          <w:trHeight w:val="547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 w:line="264" w:lineRule="auto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 продовжити навчання за освітньо-професійною програмою другого (магістерського) рівня.</w:t>
            </w:r>
          </w:p>
        </w:tc>
      </w:tr>
      <w:tr w:rsidR="00345B2F">
        <w:trPr>
          <w:trHeight w:val="392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3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345B2F">
        <w:trPr>
          <w:trHeight w:val="126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 w:line="235" w:lineRule="auto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Викладання та навчання ґрунтуються на принципах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індивідуально-особистісного підходу,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 реалізуються через навчання на основі досліджень, посиленні практичної орієнтованості та творчої спрямованості у формі комбінації лекцій, практичних та лабораторних занять, самостійної навчальної і дослідницької роботи з використанням елементів дистанц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ійного навчання, елементів дуальної освіти, розв’язування прикладних задач, навчальних та виробничих практик, курсових робіт.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Оцінювання навчальних досягнень здійснюється на основі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принципів академічної доброчесності згідно з Положенням про поточне та підсумкове оцінювання знань студентів ВНУ імені Лесі Українки, враховує усі види аудиторної та поза аудиторної освітньої діяльност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і має </w:t>
            </w:r>
            <w:bookmarkStart w:id="5" w:name="bookmark=id.17dp8vu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наступну структуру:</w:t>
            </w:r>
            <w:bookmarkStart w:id="6" w:name="bookmark=id.3rdcrjn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поточний контроль (усне та письмове опитування, захист лабораторних робіт, виступи на практичних заняттях, комп’ютерне тестування</w:t>
            </w:r>
            <w:bookmarkStart w:id="7" w:name="bookmark=id.26in1rg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контрольні роботи),</w:t>
            </w:r>
            <w:bookmarkStart w:id="8" w:name="bookmark=id.lnxbz9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підсумковий контроль (тестування,</w:t>
            </w:r>
            <w:bookmarkStart w:id="9" w:name="bookmark=id.35nkun2" w:colFirst="0" w:colLast="0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індивідуальне науково</w:t>
            </w:r>
            <w:bookmarkStart w:id="10" w:name="bookmark=id.1ksv4uv" w:colFirst="0" w:colLast="0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11" w:name="bookmark=id.44sinio" w:colFirst="0" w:colLast="0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дослідне завдання,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лік, екзамен, захист практики, захист курсової роботи), захист кваліфікаційної роботи.</w:t>
            </w:r>
          </w:p>
        </w:tc>
      </w:tr>
      <w:tr w:rsidR="00345B2F">
        <w:trPr>
          <w:trHeight w:val="337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 – Перелік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випукника</w:t>
            </w:r>
            <w:proofErr w:type="spellEnd"/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Інтегральна компетентність (ІК)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spacing w:before="120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розв’язувати складні спеціалізовані задачі та практичні проблеми у галузі комп’ютерних наук або у процесі навчання, що передбачає застосування теорій та методів інформаційних технологій і характеризується комплексністю та невизначеністю умов</w:t>
            </w:r>
          </w:p>
        </w:tc>
      </w:tr>
      <w:tr w:rsidR="00345B2F">
        <w:trPr>
          <w:trHeight w:val="3208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альні компетентності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застосовувати знання у практичних ситуаціях.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 та розуміння предметної області та розуміння професії.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професійно спілкуватися державною та іноземною мовами як усно, так і письмово.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виявляти, ставити та вирішувати проблеми за професійним спрямуванням.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пошуку, оброблення та аналізу інформації.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ЗК 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дення здорового способу життя.</w:t>
            </w:r>
          </w:p>
          <w:p w:rsidR="00D0776C" w:rsidRPr="00D0776C" w:rsidRDefault="00D07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</w:t>
            </w:r>
            <w:r w:rsidRPr="00D0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077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</w:t>
            </w:r>
            <w:r w:rsidRPr="00D0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Здатність ухвалювати рішення та діяти, дотримуючись принципу неприпустимості корупції та будь яких інших проявів </w:t>
            </w:r>
            <w:proofErr w:type="spellStart"/>
            <w:r w:rsidRPr="00D0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D0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45B2F" w:rsidRDefault="00345B2F">
            <w:pPr>
              <w:pStyle w:val="normal"/>
              <w:widowControl w:val="0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 (фахові, предметні) компетентності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застосовувати законодавчу та нормативно-правову базу, а також державні та міжнародні вимоги, практики і стандарти з метою здійснення професійної діяльності в гал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узі інформаційної та/або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до використання інформаційно-комунікаційних технологій, сучасних методів і моделей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інформаційної безпеки.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використання програмних та програмно-апаратних комплексів засобів захисту 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формації в інформаційно-телекомунікаційних (автоматизованих) системах.</w:t>
            </w:r>
          </w:p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забезпечувати неперервність бізнес-процесів згідно  встановленої політики безпеки.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забезпечувати захист інформації, що обробляється в інформаційно-телеко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мунікаційних (автоматизованих) системах з метою реалізації встановленої політики безпеки.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відновлювати штатне функціонування інформаційних, інформаційно-телекомунікаційних (автоматизованих) систем після реалізації загроз, здійснення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збоїв та відмов різних класів та походження.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впроваджувати та забезпечувати функціонування комплексних систем захисту інформації (комплекси нормативно-правових, організаційних та технічних засобів і методів, процедур, практичних прийомі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 ін.).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здійснювати процедури управління інцидентами, проводити розслідування, надавати їм оцінку.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здійснювати професійну діяльність на основі впровадженої системи управління інформаційною безпекою та/або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кібербезпекою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застосовувати методи та засоби криптографічного та технічного захисту інформації на об’єктах інформаційної діяльності.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11.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виконувати моніторинг процесів функціонування інформаційних, інформаційно-телекомунікаційних (автоматизо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ваних) систем згідно встановленої політики інформаційної та/або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ФК 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аналізувати, виявляти та оцінювати можливі загрози, уразливості та дестабілізуючі чинники інформаційному простору та інформаційним ресурсам згідно з встановленою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політикою інформаційної та/або кібербезпеки.</w:t>
            </w:r>
          </w:p>
          <w:p w:rsidR="00345B2F" w:rsidRDefault="00345B2F">
            <w:pPr>
              <w:pStyle w:val="normal"/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5B2F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left="30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– Програмні результати навчання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ind w:left="26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Знання, розуміння та їх застосування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Застосовувати знання державної та іноземних мов з метою забезпечення ефективності професійної комунікації.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Організовувати власну професійну діяльність, обирати оптимальні методи та способи розв’язування складних спеціалізованих задач та практичних проблем у професійній діяльності, оцінювати їхню ефективність.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Використовувати результати самостійного пошук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у, аналізу та синтезу інформації з різних джерел для ефективного рішення спеціалізованих задач професійної діяльності.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Аналізувати, аргументувати, приймати рішення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розв’язанні складних спеціалізованих задач та практичних проблем у професійній 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яльності, які характеризуються комплексністю та неповною визначеністю умов, відповідати за прийняті рішення.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Адаптуватися в умовах частої зміни технологій професійної діяльності, прогнозувати кінцевий результат.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Критично осмислювати основні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еорії, принципи, методи і поняття у навчанні та професійній діяльності.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Діяти на основі законодавчої та нормативно-правової бази України та вимог відповідних стандартів, у тому числі міжнародних в галузі інформаційної та/або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увати пропозиції до нормативних актів щодо забезпечення інформаційної та/або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Впроваджувати процеси, що базуються на національних та міжнародних стандартах виявлення, ідентифікації, аналізу та реагування на інциденти інформаційної та/аб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Виконувати аналіз та декомпозицію інформаційно-телекомунікаційних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Виконувати аналіз зв’язків між інформаційними процесами на віддалених обчислювальних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Розробляти моделі загроз та порушника.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Аналізувати проекти інформаційно-телекомунікаційних систем базуючись на  стандартизованих технологіях та протоколах передачі даних.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завдання захисту програм та інформації, що обробляється в інформаційно-телекомунікаційних системах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мно-апаратними засобами, та давати оцінку результативності якості прийнятих рішень.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Використовувати сучасне програмно-апаратне забезпечення інформаційно-комунікаційних технологій.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Реалізовувати комплексні системи захисту інформації в автома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тизованих системах (АС) організації (підприємства) відповідно до вимог нормативно-правових документів.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Забезпечувати процеси захисту та функціонування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інформаційнотелекомунікаційних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автоматизованих) систем на основі практик, навичок та знань, 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структурних (структурно-логічних) схем, топології мережі, сучасних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архітектур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моделей захисту електронних інформаційних ресурсів з відображенням взаємозв’язків та інформаційних потоків, процесів для внутрішніх і віддалених компонент.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увати програмні та програмно-апаратні комплекси захисту інформаційних ресурсів.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Застосовувати теорії та методи захисту для забезпечення безпеки інформації в інформаційно-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Забезпечувати функціонування спеціального програмного забезпечення, щодо захисту інформації від руйнуючих програмних впливів, руйнуючих кодів в інформаційно-телекомунікаційних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забезпечення та супроводу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числі: огляд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тестування, підзвітність) системи управління доступом згідно встановленої політики безпеки в інформаційних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телекомунікаційних (автоматизованих)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Вирішувати задачі управління процедурами ідентифікації,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аутентифікації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оризації процесів і користувачів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телекомунікаційних системах згідно встановленої політики інформаційної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і\або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кібербезпеки.</w:t>
            </w:r>
          </w:p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Реалізовувати заходи з протидії отриманню несанкціонованого доступу до інформаційних ресурсів і процесів в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нформаційних та інформаційно-телекомунікаційних (автоматизованих)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Вирішувати задачі управління доступом до інформаційних ресурсів та процесів в інформаційних та інформаційно-телекомунікаційних (автоматизованих) системах на основі моделей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доступом (мандатних, дискреційних, рольових).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Забезпечувати введення підзвітності системи управління доступом до електронних інформаційних ресурсів і процесів в інформаційних та інформаційно-телекомунікаційних (автоматизованих) системах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використанням журналів реєстрації подій, їх аналізу та встановлених процедур захисту.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Впроваджувати заходи та забезпечувати реалізацію процесів попередження отриманню несанкціонованого доступу і захисту інформаційних, інформаційно-телекомунікацій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(автоматизованих) систем на основі еталонної моделі взаємодії відкритих систем.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захисту потоків даних в інформаційних, інформаційно-телекомунікаційних (автоматизованих)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Аналізувати та проводити оцінку ефектив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ності та рівня захищеності ресурсів різних класів в інформаційних та інформаційно-телекомунікаційних (автоматизованих) системах в ході проведення випробувань згідно встановленої політики інформаційної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та\або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29.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оцінювання мож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ливості реалізації потенційних загроз інформації, що обробляється в інформаційно-телекомунікаційних системах та ефективності використання комплексів засобів захисту в умовах реалізації загроз різних класів.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оцінювання можливості несанкц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іонованого доступу до елементів інформаційно-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телекомунікаційних систем.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Застосовувати теорії та методи захисту для забезпечення безпеки елементів інформаційно-телекомунікаційних систем.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управління процесами відновлення шта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тного функціонування інформаційно-телекомунікаційних систем з використанням процедур резервування згідно встановленої політики 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забезпечення безперервності бізнес процесів організації на основі теорії ризиків.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 участь у розробці та впровадженні стратегії інформаційної безпеки та/або кібербезпеки відповідно до цілей і завдань організації.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забезпечення та супроводу комплексних систем захисту інформації, а також протидії несанкціонован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ому доступу до інформаційних ресурсів і процесів в інформаційних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телекомунікаційних (автоматизованих) системах згідно встановленої політики інформаційної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і\або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Виявляти небезпечні сигнали технічних засобів.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мірювати параметри небезпечних та завадових сигналів під час інструментального контролю процесів захисту інформації та визначати ефективність захисту інформації від витоку технічними каналами відповідно до вимог нормативних документів системи технічного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хисту інформації.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Інтерпретувати результати проведення спеціальних вимірювань з використанням технічних засобів, контролю характеристик інформаційно-телекомунікаційних систем відповідно до вимог нормативних документів системи технічного захисту інф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ормації.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39.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 атестацію (спираючись на облік та обстеження) режимних територій (зон), приміщень тощо в умовах дотримання режиму секретності із фіксуванням результатів у відповідних документах.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Інтерпретувати результати проведення спеці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альних вимірювань з використанням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технічних-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засобів, контролю характеристик ITC відповідно до вимог нормативних документів системи технічного захисту інформації.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Забезпечувати неперервність процесу ведення журналів реєстрації подій та інцидентів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основі автоматизованих процедур.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Впроваджувати процеси виявлення, ідентифікації, аналізу та реагування на інциденти інформаційної і/або кібербезпеки.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Застосовувати національні та міжнародні регулюючі акти в сфері інформаційної безпеки та/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кібербезпеки для розслідування інцидентів.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Вирішувати задачі забезпечення безперервності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бізнес-процесів організації на основі теорії ризиків та встановленої системи управління інформаційною безпекою, згідно з вітчизняними та міжнародними вимогами та стандартами.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Застосовувати різні класи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олітик інформаційної безпеки та/або кібербезпеки, що базуються на ризик-орієнтованому контролі доступу до інформаційних активів.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аналіз та мінімізацію ризиків обробки інформації в інформаційно-телекомунікаційних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задачі захисту інформації, що обробляється в інформаційно-телекомунікаційних системах з використанням сучасних методів та засобів криптографічного захисту інформації.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Виконувати впровадження та підтримку систем виявлення вторгнень та використо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вувати компоненти криптографічного захисту для забезпечення необхідного рівня захищеності інформації в інформаційно-телекомунікаційних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49.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Забезпечувати належне функціонування системи моніторингу інформаційних ресурсів і процесів в інформацій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Забезпечувати функціонування програмних та програмно-апаратних комплексів виявлення вторгнень різних рівнів та класів (статистичних, сигнатурних, статистично-сигнатурних).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Підтримувати працездатність та забез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печувати конфігурування систем виявлення вторгнень в інформаційно-телекомунікаційних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Використовувати інструментарій для моніторингу процесів в інформаційно-телекомунікаційних системах.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Вирішувати задачі аналізу програмного коду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наявність можливих загроз.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ПРН 54.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345B2F" w:rsidRDefault="00345B2F">
            <w:pPr>
              <w:pStyle w:val="normal"/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5B2F">
        <w:trPr>
          <w:trHeight w:val="445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ind w:right="-1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– Ресурсне забезпечення реалізації програми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Науково-педагогічні працівники, які залучені до підготовки бакалаврів за освітньою програмою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захист інформації,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відовідають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ліцензійним вимогам, мають науковий ступінь, вче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звання за відповідною або спорідненою спеціальністю, систематично здійснюють наукову і навчально-методичну діяльність, регулярно проходять стажування (підвищують кваліфікацію), у тому числі й за кордоном; їх базова освіта відповідає профілю дисциплін,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 вони викладають.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tabs>
                <w:tab w:val="left" w:pos="29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Матеріально-технічне забезпечення освітньо-професійної програми відповідає чинним технологічним вимогам до впровадження освітньої діяльності у сфері вищої освіти, затверджених Постановою Кабінету Міністрів України від 30.12.2015 р. № 1187 (чинний) в редакц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ії від 23.05.2018 р. № 347: навчальні корпуси, лекційні аудиторії (окремі з них обладнані мультимедійними проекторами), аудиторії для практичних занять, комп’ютерні класи, лабораторії (комп’ютерна лабораторія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InternetDevels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лабораторія захисту інформації)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спеціалізовані кабінети, обладнані відповідно до потреб навчального процесу, комп’ютерне, мережеве та програмне забезпечення, мультимедійне обладнання, бібліотека, інклюзивний ХАБ, бездротовий доступ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усіх корпусах університету та бібліотец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соціальнопобутова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спортивно-оздоровча інфраструктура.</w:t>
            </w:r>
          </w:p>
        </w:tc>
      </w:tr>
      <w:tr w:rsidR="00345B2F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spacing w:before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офіційного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веб-сайту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ВНУ імені Лесі Українки, сторінок факультету та кафедр, на яких розміщена основна інформація про наукову та навчаль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но-методичну діяльність (освітньо-професійні програми, навчальні плани,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навчальних дисциплін тощо).  Сайт бібліотеки (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http://library.vnu.edu.ua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фонди бібліотеки, інституційний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https://evnuir.vnu.edu.ua/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фонд кваліфікаційних робіт, наукова періодика, навчально-методичні розробки НПП, які доступні також і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репозитарії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університету. На період навчання здобувачеві безкоштовно надається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рпоративний обліковий запис у Office365. Надається безкоштовний доступ до ресурсів платформи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Існує кілька локальних комп’ютерних мереж і точок бездротового доступу до 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жі Інтернет. Дистанційні курси навчальних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дисиплін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розміщено на платформі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https://moodle.vnu.edu.ua/ та https://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moodle-cs.vnu.edu.ua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Мережа комп'ютерних класів факультету є відділеною від загальної 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жі університету та забезпечує кожен комп’ютер виходом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сервер-шлюз (він же файл-сервер). Наявний VPN-сервер дозволяє віддалено працювати з мережею класів. На одному із серверів розгорнуто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Також є сервер з системою тестування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хмарним сховищем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OwnCloud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Ці сервери мають університетські доменні імена і доступні ззовні (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http://cs.vnu.edu.ua/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вкладка «Наші сервіси»). Функціонують точки доступу wi-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кожному із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комп'ютерних класів.</w:t>
            </w:r>
          </w:p>
        </w:tc>
      </w:tr>
    </w:tbl>
    <w:p w:rsidR="00345B2F" w:rsidRDefault="00345B2F">
      <w:pPr>
        <w:pStyle w:val="normal"/>
        <w:ind w:left="2040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E00843">
      <w:pPr>
        <w:pStyle w:val="normal"/>
        <w:numPr>
          <w:ilvl w:val="0"/>
          <w:numId w:val="3"/>
        </w:numPr>
        <w:tabs>
          <w:tab w:val="left" w:pos="880"/>
        </w:tabs>
        <w:ind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елік компонент освітньо-професійної програми та їх логічна послідовність</w:t>
      </w:r>
    </w:p>
    <w:p w:rsidR="00345B2F" w:rsidRDefault="00345B2F">
      <w:pPr>
        <w:pStyle w:val="normal"/>
        <w:spacing w:line="21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B2F" w:rsidRDefault="00E00843">
      <w:pPr>
        <w:pStyle w:val="normal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Перелік компонент ОП</w:t>
      </w:r>
    </w:p>
    <w:tbl>
      <w:tblPr>
        <w:tblStyle w:val="afc"/>
        <w:tblW w:w="10121" w:type="dxa"/>
        <w:tblInd w:w="-25" w:type="dxa"/>
        <w:tblLayout w:type="fixed"/>
        <w:tblLook w:val="0000"/>
      </w:tblPr>
      <w:tblGrid>
        <w:gridCol w:w="936"/>
        <w:gridCol w:w="57"/>
        <w:gridCol w:w="6293"/>
        <w:gridCol w:w="1278"/>
        <w:gridCol w:w="1557"/>
      </w:tblGrid>
      <w:tr w:rsidR="00345B2F">
        <w:trPr>
          <w:trHeight w:val="871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освітньо-професійної програми (навчальні дисципліни, курсові проекти (роботи),практики, кваліфікаційна робота)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контролю</w:t>
            </w:r>
          </w:p>
        </w:tc>
      </w:tr>
      <w:tr w:rsidR="00345B2F">
        <w:trPr>
          <w:trHeight w:val="258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45B2F">
        <w:trPr>
          <w:trHeight w:val="306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Обов’язкові компоненти освітньо-професійної програми</w:t>
            </w:r>
          </w:p>
        </w:tc>
      </w:tr>
      <w:tr w:rsidR="00345B2F">
        <w:trPr>
          <w:trHeight w:val="375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Цикл загальної підготовки</w:t>
            </w:r>
          </w:p>
        </w:tc>
      </w:tr>
      <w:tr w:rsidR="00345B2F">
        <w:trPr>
          <w:trHeight w:val="306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 в європейському історичному та культурному контекстах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278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405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екзамен, 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Фізичне виховання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6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Правові основи громадянського суспільства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6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Психологія міжособистісної взаємодії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6"/>
        </w:trPr>
        <w:tc>
          <w:tcPr>
            <w:tcW w:w="7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B2F">
        <w:trPr>
          <w:trHeight w:val="309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Цикл професійної підготовки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 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Програмування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Лінійна алгебра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Математичний аналіз та диференціальні рівняння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екзамен, 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 10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екзамен, 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 база кібербезпеки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74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Дискретна математика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203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13</w:t>
            </w:r>
          </w:p>
        </w:tc>
        <w:tc>
          <w:tcPr>
            <w:tcW w:w="629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Організаційне забезпечення захисту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інформаціі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14</w:t>
            </w:r>
          </w:p>
        </w:tc>
        <w:tc>
          <w:tcPr>
            <w:tcW w:w="629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 інформації і кодування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Системи моніторингу загроз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16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Сигнали та процеси в системах захисту інформації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0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 ризиків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18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Криптографія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стеганографія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19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Апаратне забезпечення інформаційних систем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 20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Схемотехніка пристроїв технічного захисту інформації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 даних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55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веброзробки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23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криптологія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24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Засоби приймання, передавання та обробки сигналів в системах технічного захисту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додатків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26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 та засоби технічного захисту інформації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27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Комп'ютерні мережі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28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інформаційною безпекою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29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Комплексні системи захисту інформації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30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Проектування систем технічного захисту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31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Інформаційні технології організації та захисту бізнес процесів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32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 робота з технології програмування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33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Курсова робота з програмно-технічного захисту інформації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30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34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з технології програмування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35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Виробнича практика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36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з організації, налагодження та захисту комп’ютерних мереж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37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Виробнича практика з організації захисту інформації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309"/>
        </w:trPr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38</w:t>
            </w:r>
          </w:p>
        </w:tc>
        <w:tc>
          <w:tcPr>
            <w:tcW w:w="6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ЄДКІ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345B2F">
        <w:trPr>
          <w:trHeight w:val="309"/>
        </w:trPr>
        <w:tc>
          <w:tcPr>
            <w:tcW w:w="7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B2F">
        <w:trPr>
          <w:trHeight w:val="455"/>
        </w:trPr>
        <w:tc>
          <w:tcPr>
            <w:tcW w:w="7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B2F">
        <w:trPr>
          <w:trHeight w:val="246"/>
        </w:trPr>
        <w:tc>
          <w:tcPr>
            <w:tcW w:w="10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3.Цикл вибіркових дисциплін</w:t>
            </w:r>
          </w:p>
        </w:tc>
      </w:tr>
      <w:tr w:rsidR="00345B2F">
        <w:trPr>
          <w:trHeight w:val="44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8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Вибірковий освітній компонент 10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11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 освітній компонент 12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345B2F">
        <w:trPr>
          <w:trHeight w:val="411"/>
        </w:trPr>
        <w:tc>
          <w:tcPr>
            <w:tcW w:w="7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B2F">
        <w:trPr>
          <w:trHeight w:val="268"/>
        </w:trPr>
        <w:tc>
          <w:tcPr>
            <w:tcW w:w="7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240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кредитів</w:t>
            </w:r>
            <w:bookmarkStart w:id="12" w:name="bookmark=id.2jxsxqh" w:colFirst="0" w:colLast="0"/>
            <w:bookmarkEnd w:id="12"/>
          </w:p>
        </w:tc>
      </w:tr>
    </w:tbl>
    <w:p w:rsidR="00345B2F" w:rsidRDefault="00345B2F">
      <w:pPr>
        <w:pStyle w:val="normal"/>
        <w:ind w:left="100"/>
        <w:rPr>
          <w:rFonts w:ascii="Times New Roman" w:eastAsia="Times New Roman" w:hAnsi="Times New Roman" w:cs="Times New Roman"/>
          <w:b/>
          <w:sz w:val="28"/>
          <w:szCs w:val="28"/>
        </w:rPr>
        <w:sectPr w:rsidR="00345B2F">
          <w:pgSz w:w="11906" w:h="16838"/>
          <w:pgMar w:top="1109" w:right="920" w:bottom="1440" w:left="1440" w:header="0" w:footer="0" w:gutter="0"/>
          <w:cols w:space="720"/>
        </w:sectPr>
      </w:pPr>
    </w:p>
    <w:p w:rsidR="00345B2F" w:rsidRDefault="00E00843">
      <w:pPr>
        <w:pStyle w:val="normal"/>
        <w:spacing w:line="264" w:lineRule="auto"/>
        <w:ind w:left="2520" w:right="-57" w:hanging="12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Структурно-логічна схема освітньо-професійної програми</w:t>
      </w:r>
    </w:p>
    <w:p w:rsidR="00345B2F" w:rsidRDefault="00E00843">
      <w:pPr>
        <w:pStyle w:val="normal"/>
        <w:spacing w:line="264" w:lineRule="auto"/>
        <w:ind w:left="2520" w:right="-57" w:hanging="1271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45B2F">
          <w:pgSz w:w="16838" w:h="11906" w:orient="landscape"/>
          <w:pgMar w:top="851" w:right="851" w:bottom="851" w:left="851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drawing>
          <wp:inline distT="114300" distB="114300" distL="114300" distR="114300">
            <wp:extent cx="7907840" cy="6012498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7840" cy="6012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B2F" w:rsidRDefault="00345B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E0084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 атестації здобувачів вищої освіти</w:t>
      </w:r>
    </w:p>
    <w:p w:rsidR="00345B2F" w:rsidRDefault="00345B2F">
      <w:pPr>
        <w:pStyle w:val="normal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B2F" w:rsidRDefault="00E00843">
      <w:pPr>
        <w:pStyle w:val="normal"/>
        <w:spacing w:line="252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Проміжна атестація передбачає такі форми: для циклу загальної підготовки – екзамени і заліки; для циклу професійної підготовки – екзамени і заліки, практики.</w:t>
      </w:r>
    </w:p>
    <w:p w:rsidR="00345B2F" w:rsidRDefault="00E0084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bookmark=id.z337ya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Атестація здобувачів першого (бака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лаврського) освітньо-професійного рівня за спеціальністю 125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здійснюється у формі єдиного державного кваліфікаційного іспиту (наказ Міністерства освіти і науки України від 13.01.2022р. №26) та завершується видачею документа встановленого зразк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про присудження їм ступеня бакалавра з освітньою кваліфікацією «Бакалавр з кібербезпеки», з присвоєнням професійної кваліфікації «Фахівець з організації інформаційної безпеки».</w:t>
      </w:r>
    </w:p>
    <w:p w:rsidR="00345B2F" w:rsidRDefault="00E0084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Єдиний державний кваліфікаційний іспит передбачає оцінювання досягнень результатів навчання, визначених Стандартом вищої освіти за спеціальністю 125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першого (бакалаврського) рівня вищої освіти» (наказ МОН від 04 жовтня 2018 року №1074)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освітньою програмою.</w:t>
      </w:r>
    </w:p>
    <w:p w:rsidR="00345B2F" w:rsidRDefault="00345B2F">
      <w:pPr>
        <w:pStyle w:val="normal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345B2F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2F" w:rsidRDefault="00345B2F">
      <w:pPr>
        <w:pStyle w:val="normal"/>
        <w:spacing w:line="228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E00843">
      <w:pPr>
        <w:pStyle w:val="normal"/>
        <w:spacing w:line="252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45B2F" w:rsidRDefault="00E0084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Матриця відповідності загальних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(ЗК) компонентам освітньо-професійної програми</w:t>
      </w:r>
    </w:p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d"/>
        <w:tblpPr w:leftFromText="180" w:rightFromText="180" w:topFromText="180" w:bottomFromText="180" w:vertAnchor="text" w:tblpX="-150"/>
        <w:tblW w:w="6662" w:type="dxa"/>
        <w:tblInd w:w="-108" w:type="dxa"/>
        <w:tblLayout w:type="fixed"/>
        <w:tblLook w:val="0400"/>
      </w:tblPr>
      <w:tblGrid>
        <w:gridCol w:w="925"/>
        <w:gridCol w:w="777"/>
        <w:gridCol w:w="708"/>
        <w:gridCol w:w="708"/>
        <w:gridCol w:w="709"/>
        <w:gridCol w:w="708"/>
        <w:gridCol w:w="709"/>
        <w:gridCol w:w="709"/>
        <w:gridCol w:w="709"/>
      </w:tblGrid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ЗК 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ЗК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6.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 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 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 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29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D0776C" w:rsidTr="00D0776C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76C" w:rsidRDefault="00D0776C" w:rsidP="00D0776C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 38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6C" w:rsidRDefault="00D0776C" w:rsidP="00D0776C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</w:rPr>
      </w:pPr>
      <w:bookmarkStart w:id="14" w:name="_heading=h.3j2qqm3" w:colFirst="0" w:colLast="0"/>
      <w:bookmarkEnd w:id="14"/>
    </w:p>
    <w:p w:rsidR="00345B2F" w:rsidRDefault="00E00843">
      <w:pPr>
        <w:pStyle w:val="normal"/>
        <w:rPr>
          <w:rFonts w:ascii="Times New Roman" w:eastAsia="Times New Roman" w:hAnsi="Times New Roman" w:cs="Times New Roman"/>
        </w:rPr>
      </w:pPr>
      <w:r>
        <w:br w:type="page"/>
      </w:r>
    </w:p>
    <w:p w:rsidR="00345B2F" w:rsidRDefault="00E00843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Матриця відповідності фахових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(ФК) компонентам освітньо-професійної  програми</w:t>
      </w:r>
    </w:p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e"/>
        <w:tblW w:w="10280" w:type="dxa"/>
        <w:tblInd w:w="-324" w:type="dxa"/>
        <w:tblLayout w:type="fixed"/>
        <w:tblLook w:val="0400"/>
      </w:tblPr>
      <w:tblGrid>
        <w:gridCol w:w="784"/>
        <w:gridCol w:w="849"/>
        <w:gridCol w:w="850"/>
        <w:gridCol w:w="853"/>
        <w:gridCol w:w="707"/>
        <w:gridCol w:w="709"/>
        <w:gridCol w:w="711"/>
        <w:gridCol w:w="706"/>
        <w:gridCol w:w="711"/>
        <w:gridCol w:w="709"/>
        <w:gridCol w:w="990"/>
        <w:gridCol w:w="851"/>
        <w:gridCol w:w="850"/>
      </w:tblGrid>
      <w:tr w:rsidR="00345B2F">
        <w:trPr>
          <w:trHeight w:val="20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2.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5.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7.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9.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 12.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4.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OK 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OK 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5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345B2F">
        <w:trPr>
          <w:trHeight w:val="2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 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345B2F" w:rsidRDefault="00345B2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45B2F">
          <w:pgSz w:w="11906" w:h="16838"/>
          <w:pgMar w:top="1134" w:right="1134" w:bottom="1440" w:left="1021" w:header="0" w:footer="0" w:gutter="0"/>
          <w:cols w:space="720"/>
        </w:sectPr>
      </w:pPr>
    </w:p>
    <w:p w:rsidR="00345B2F" w:rsidRDefault="00E00843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 . Матриця відповідності  програмних результатів навчання (ПРН) компонентам освітньо-професійної  програми</w:t>
      </w:r>
    </w:p>
    <w:tbl>
      <w:tblPr>
        <w:tblStyle w:val="aff"/>
        <w:tblW w:w="16365" w:type="dxa"/>
        <w:tblInd w:w="-1026" w:type="dxa"/>
        <w:tblLayout w:type="fixed"/>
        <w:tblLook w:val="0400"/>
      </w:tblPr>
      <w:tblGrid>
        <w:gridCol w:w="345"/>
        <w:gridCol w:w="255"/>
        <w:gridCol w:w="285"/>
        <w:gridCol w:w="285"/>
        <w:gridCol w:w="285"/>
        <w:gridCol w:w="285"/>
        <w:gridCol w:w="285"/>
        <w:gridCol w:w="285"/>
        <w:gridCol w:w="285"/>
        <w:gridCol w:w="285"/>
        <w:gridCol w:w="330"/>
        <w:gridCol w:w="27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85"/>
      </w:tblGrid>
      <w:tr w:rsidR="00345B2F" w:rsidTr="00E00843">
        <w:trPr>
          <w:cantSplit/>
          <w:trHeight w:val="1134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10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13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18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19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23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28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29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33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38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39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43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48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49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51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ПРН 54</w:t>
            </w: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 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4.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6.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OK 7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OK 10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ОК 12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16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17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19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 20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ОК 25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26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27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29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30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31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34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36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ОК 37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345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</w:tr>
      <w:tr w:rsidR="00345B2F" w:rsidTr="00E00843">
        <w:trPr>
          <w:cantSplit/>
          <w:trHeight w:val="69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ОК 38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B2F" w:rsidRDefault="00E008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</w:tr>
    </w:tbl>
    <w:p w:rsidR="00345B2F" w:rsidRDefault="00E00843">
      <w:pPr>
        <w:pStyle w:val="normal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158115</wp:posOffset>
            </wp:positionV>
            <wp:extent cx="989330" cy="680085"/>
            <wp:effectExtent l="19050" t="0" r="1270" b="0"/>
            <wp:wrapNone/>
            <wp:docPr id="8" name="image3.png" descr="https://lh7-rt.googleusercontent.com/docsz/AD_4nXeHy0yFhRytgDwRRz740kWsrhYLToWWVzzuzQ6PE7UbL2HPl5k5MVmRbTqeBL5WBuqOykZUsd_tXqmfsui0qvlKHpLwxv31KMJ_ZW2LqWIWZxINUH4KSIrIQVyVyIbnfmhqTvd7rdPNoFfn_XqW?key=ef2QNbpncjbMizr3waF91g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7-rt.googleusercontent.com/docsz/AD_4nXeHy0yFhRytgDwRRz740kWsrhYLToWWVzzuzQ6PE7UbL2HPl5k5MVmRbTqeBL5WBuqOykZUsd_tXqmfsui0qvlKHpLwxv31KMJ_ZW2LqWIWZxINUH4KSIrIQVyVyIbnfmhqTvd7rdPNoFfn_XqW?key=ef2QNbpncjbMizr3waF91gG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8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B2F" w:rsidRDefault="00345B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B2F" w:rsidRDefault="00E00843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heading=h.30j0zll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Гарант освітньої програми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Людмила ГЛИНЧУК</w:t>
      </w:r>
    </w:p>
    <w:sectPr w:rsidR="00345B2F" w:rsidSect="00345B2F">
      <w:pgSz w:w="16838" w:h="11906" w:orient="landscape"/>
      <w:pgMar w:top="1021" w:right="1134" w:bottom="1134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5E1E"/>
    <w:multiLevelType w:val="multilevel"/>
    <w:tmpl w:val="EE1E7A78"/>
    <w:lvl w:ilvl="0">
      <w:start w:val="1"/>
      <w:numFmt w:val="decimal"/>
      <w:lvlText w:val="%1.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>
    <w:nsid w:val="42422C52"/>
    <w:multiLevelType w:val="multilevel"/>
    <w:tmpl w:val="F55A32D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>
    <w:nsid w:val="5DF843C7"/>
    <w:multiLevelType w:val="multilevel"/>
    <w:tmpl w:val="C2F48E54"/>
    <w:lvl w:ilvl="0">
      <w:start w:val="2"/>
      <w:numFmt w:val="decimal"/>
      <w:lvlText w:val="%1.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hyphenationZone w:val="425"/>
  <w:characterSpacingControl w:val="doNotCompress"/>
  <w:compat/>
  <w:rsids>
    <w:rsidRoot w:val="00345B2F"/>
    <w:rsid w:val="00345B2F"/>
    <w:rsid w:val="00D0776C"/>
    <w:rsid w:val="00E0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345B2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45B2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345B2F"/>
  </w:style>
  <w:style w:type="paragraph" w:styleId="a3">
    <w:name w:val="Title"/>
    <w:basedOn w:val="normal"/>
    <w:next w:val="normal"/>
    <w:rsid w:val="00345B2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345B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583D54"/>
  </w:style>
  <w:style w:type="table" w:customStyle="1" w:styleId="TableNormal1">
    <w:name w:val="Table Normal"/>
    <w:rsid w:val="00583D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LO-normal1"/>
    <w:next w:val="LO-normal"/>
    <w:qFormat/>
    <w:rsid w:val="006716D2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LO-normal1"/>
    <w:next w:val="LO-normal"/>
    <w:qFormat/>
    <w:rsid w:val="006716D2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LO-normal1"/>
    <w:next w:val="LO-normal"/>
    <w:qFormat/>
    <w:rsid w:val="006716D2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LO-normal1"/>
    <w:next w:val="LO-normal"/>
    <w:qFormat/>
    <w:rsid w:val="006716D2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LO-normal1"/>
    <w:next w:val="LO-normal"/>
    <w:qFormat/>
    <w:rsid w:val="006716D2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LO-normal1"/>
    <w:next w:val="LO-normal"/>
    <w:qFormat/>
    <w:rsid w:val="006716D2"/>
    <w:pPr>
      <w:keepNext/>
      <w:keepLines/>
      <w:widowControl w:val="0"/>
      <w:spacing w:before="200" w:after="40"/>
      <w:outlineLvl w:val="5"/>
    </w:pPr>
    <w:rPr>
      <w:b/>
    </w:rPr>
  </w:style>
  <w:style w:type="character" w:customStyle="1" w:styleId="WW8Num1z0">
    <w:name w:val="WW8Num1z0"/>
    <w:qFormat/>
    <w:rsid w:val="006716D2"/>
  </w:style>
  <w:style w:type="character" w:customStyle="1" w:styleId="WW8Num2z0">
    <w:name w:val="WW8Num2z0"/>
    <w:qFormat/>
    <w:rsid w:val="006716D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3z0">
    <w:name w:val="WW8Num3z0"/>
    <w:qFormat/>
    <w:rsid w:val="006716D2"/>
  </w:style>
  <w:style w:type="character" w:customStyle="1" w:styleId="WW8Num3z1">
    <w:name w:val="WW8Num3z1"/>
    <w:qFormat/>
    <w:rsid w:val="006716D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  <w:qFormat/>
    <w:rsid w:val="006716D2"/>
    <w:rPr>
      <w:rFonts w:ascii="Liberation Serif" w:hAnsi="Liberation Serif" w:cs="Liberation Serif"/>
    </w:rPr>
  </w:style>
  <w:style w:type="character" w:customStyle="1" w:styleId="WW8Num4z0">
    <w:name w:val="WW8Num4z0"/>
    <w:qFormat/>
    <w:rsid w:val="006716D2"/>
    <w:rPr>
      <w:rFonts w:ascii="Times New Roman" w:eastAsia="Times New Roman" w:hAnsi="Times New Roman" w:cs="Times New Roman"/>
      <w:sz w:val="28"/>
    </w:rPr>
  </w:style>
  <w:style w:type="character" w:customStyle="1" w:styleId="WW8Num5z0">
    <w:name w:val="WW8Num5z0"/>
    <w:qFormat/>
    <w:rsid w:val="006716D2"/>
  </w:style>
  <w:style w:type="character" w:customStyle="1" w:styleId="WW8Num5z1">
    <w:name w:val="WW8Num5z1"/>
    <w:qFormat/>
    <w:rsid w:val="006716D2"/>
  </w:style>
  <w:style w:type="character" w:customStyle="1" w:styleId="WW8Num5z2">
    <w:name w:val="WW8Num5z2"/>
    <w:qFormat/>
    <w:rsid w:val="006716D2"/>
  </w:style>
  <w:style w:type="character" w:customStyle="1" w:styleId="WW8Num5z3">
    <w:name w:val="WW8Num5z3"/>
    <w:qFormat/>
    <w:rsid w:val="006716D2"/>
  </w:style>
  <w:style w:type="character" w:customStyle="1" w:styleId="WW8Num5z4">
    <w:name w:val="WW8Num5z4"/>
    <w:qFormat/>
    <w:rsid w:val="006716D2"/>
  </w:style>
  <w:style w:type="character" w:customStyle="1" w:styleId="WW8Num5z5">
    <w:name w:val="WW8Num5z5"/>
    <w:qFormat/>
    <w:rsid w:val="006716D2"/>
  </w:style>
  <w:style w:type="character" w:customStyle="1" w:styleId="WW8Num5z6">
    <w:name w:val="WW8Num5z6"/>
    <w:qFormat/>
    <w:rsid w:val="006716D2"/>
  </w:style>
  <w:style w:type="character" w:customStyle="1" w:styleId="WW8Num5z7">
    <w:name w:val="WW8Num5z7"/>
    <w:qFormat/>
    <w:rsid w:val="006716D2"/>
  </w:style>
  <w:style w:type="character" w:customStyle="1" w:styleId="WW8Num5z8">
    <w:name w:val="WW8Num5z8"/>
    <w:qFormat/>
    <w:rsid w:val="006716D2"/>
  </w:style>
  <w:style w:type="character" w:customStyle="1" w:styleId="WW8Num1z1">
    <w:name w:val="WW8Num1z1"/>
    <w:qFormat/>
    <w:rsid w:val="006716D2"/>
  </w:style>
  <w:style w:type="character" w:customStyle="1" w:styleId="WW8Num1z2">
    <w:name w:val="WW8Num1z2"/>
    <w:qFormat/>
    <w:rsid w:val="006716D2"/>
  </w:style>
  <w:style w:type="character" w:customStyle="1" w:styleId="WW8Num1z3">
    <w:name w:val="WW8Num1z3"/>
    <w:qFormat/>
    <w:rsid w:val="006716D2"/>
  </w:style>
  <w:style w:type="character" w:customStyle="1" w:styleId="WW8Num1z4">
    <w:name w:val="WW8Num1z4"/>
    <w:qFormat/>
    <w:rsid w:val="006716D2"/>
  </w:style>
  <w:style w:type="character" w:customStyle="1" w:styleId="WW8Num1z5">
    <w:name w:val="WW8Num1z5"/>
    <w:qFormat/>
    <w:rsid w:val="006716D2"/>
  </w:style>
  <w:style w:type="character" w:customStyle="1" w:styleId="WW8Num1z6">
    <w:name w:val="WW8Num1z6"/>
    <w:qFormat/>
    <w:rsid w:val="006716D2"/>
  </w:style>
  <w:style w:type="character" w:customStyle="1" w:styleId="WW8Num1z7">
    <w:name w:val="WW8Num1z7"/>
    <w:qFormat/>
    <w:rsid w:val="006716D2"/>
  </w:style>
  <w:style w:type="character" w:customStyle="1" w:styleId="WW8Num1z8">
    <w:name w:val="WW8Num1z8"/>
    <w:qFormat/>
    <w:rsid w:val="006716D2"/>
  </w:style>
  <w:style w:type="character" w:customStyle="1" w:styleId="WW8Num2z1">
    <w:name w:val="WW8Num2z1"/>
    <w:qFormat/>
    <w:rsid w:val="006716D2"/>
  </w:style>
  <w:style w:type="character" w:customStyle="1" w:styleId="WW8Num2z2">
    <w:name w:val="WW8Num2z2"/>
    <w:qFormat/>
    <w:rsid w:val="006716D2"/>
  </w:style>
  <w:style w:type="character" w:customStyle="1" w:styleId="WW8Num2z3">
    <w:name w:val="WW8Num2z3"/>
    <w:qFormat/>
    <w:rsid w:val="006716D2"/>
  </w:style>
  <w:style w:type="character" w:customStyle="1" w:styleId="WW8Num2z4">
    <w:name w:val="WW8Num2z4"/>
    <w:qFormat/>
    <w:rsid w:val="006716D2"/>
  </w:style>
  <w:style w:type="character" w:customStyle="1" w:styleId="WW8Num2z5">
    <w:name w:val="WW8Num2z5"/>
    <w:qFormat/>
    <w:rsid w:val="006716D2"/>
  </w:style>
  <w:style w:type="character" w:customStyle="1" w:styleId="WW8Num2z6">
    <w:name w:val="WW8Num2z6"/>
    <w:qFormat/>
    <w:rsid w:val="006716D2"/>
  </w:style>
  <w:style w:type="character" w:customStyle="1" w:styleId="WW8Num2z7">
    <w:name w:val="WW8Num2z7"/>
    <w:qFormat/>
    <w:rsid w:val="006716D2"/>
  </w:style>
  <w:style w:type="character" w:customStyle="1" w:styleId="WW8Num2z8">
    <w:name w:val="WW8Num2z8"/>
    <w:qFormat/>
    <w:rsid w:val="006716D2"/>
  </w:style>
  <w:style w:type="character" w:customStyle="1" w:styleId="WW8Num3z3">
    <w:name w:val="WW8Num3z3"/>
    <w:qFormat/>
    <w:rsid w:val="006716D2"/>
  </w:style>
  <w:style w:type="character" w:customStyle="1" w:styleId="WW8Num3z4">
    <w:name w:val="WW8Num3z4"/>
    <w:qFormat/>
    <w:rsid w:val="006716D2"/>
  </w:style>
  <w:style w:type="character" w:customStyle="1" w:styleId="WW8Num3z5">
    <w:name w:val="WW8Num3z5"/>
    <w:qFormat/>
    <w:rsid w:val="006716D2"/>
  </w:style>
  <w:style w:type="character" w:customStyle="1" w:styleId="WW8Num3z6">
    <w:name w:val="WW8Num3z6"/>
    <w:qFormat/>
    <w:rsid w:val="006716D2"/>
  </w:style>
  <w:style w:type="character" w:customStyle="1" w:styleId="WW8Num3z7">
    <w:name w:val="WW8Num3z7"/>
    <w:qFormat/>
    <w:rsid w:val="006716D2"/>
  </w:style>
  <w:style w:type="character" w:customStyle="1" w:styleId="WW8Num3z8">
    <w:name w:val="WW8Num3z8"/>
    <w:qFormat/>
    <w:rsid w:val="006716D2"/>
  </w:style>
  <w:style w:type="character" w:customStyle="1" w:styleId="WW8Num4z1">
    <w:name w:val="WW8Num4z1"/>
    <w:qFormat/>
    <w:rsid w:val="006716D2"/>
  </w:style>
  <w:style w:type="character" w:customStyle="1" w:styleId="WW8Num4z2">
    <w:name w:val="WW8Num4z2"/>
    <w:qFormat/>
    <w:rsid w:val="006716D2"/>
  </w:style>
  <w:style w:type="character" w:customStyle="1" w:styleId="WW8Num4z3">
    <w:name w:val="WW8Num4z3"/>
    <w:qFormat/>
    <w:rsid w:val="006716D2"/>
  </w:style>
  <w:style w:type="character" w:customStyle="1" w:styleId="WW8Num4z4">
    <w:name w:val="WW8Num4z4"/>
    <w:qFormat/>
    <w:rsid w:val="006716D2"/>
  </w:style>
  <w:style w:type="character" w:customStyle="1" w:styleId="WW8Num4z5">
    <w:name w:val="WW8Num4z5"/>
    <w:qFormat/>
    <w:rsid w:val="006716D2"/>
  </w:style>
  <w:style w:type="character" w:customStyle="1" w:styleId="WW8Num4z6">
    <w:name w:val="WW8Num4z6"/>
    <w:qFormat/>
    <w:rsid w:val="006716D2"/>
  </w:style>
  <w:style w:type="character" w:customStyle="1" w:styleId="WW8Num4z7">
    <w:name w:val="WW8Num4z7"/>
    <w:qFormat/>
    <w:rsid w:val="006716D2"/>
  </w:style>
  <w:style w:type="character" w:customStyle="1" w:styleId="WW8Num4z8">
    <w:name w:val="WW8Num4z8"/>
    <w:qFormat/>
    <w:rsid w:val="006716D2"/>
  </w:style>
  <w:style w:type="character" w:customStyle="1" w:styleId="WW8Num6z0">
    <w:name w:val="WW8Num6z0"/>
    <w:qFormat/>
    <w:rsid w:val="006716D2"/>
  </w:style>
  <w:style w:type="character" w:customStyle="1" w:styleId="WW8Num6z1">
    <w:name w:val="WW8Num6z1"/>
    <w:qFormat/>
    <w:rsid w:val="006716D2"/>
  </w:style>
  <w:style w:type="character" w:customStyle="1" w:styleId="WW8Num6z2">
    <w:name w:val="WW8Num6z2"/>
    <w:qFormat/>
    <w:rsid w:val="006716D2"/>
  </w:style>
  <w:style w:type="character" w:customStyle="1" w:styleId="WW8Num6z3">
    <w:name w:val="WW8Num6z3"/>
    <w:qFormat/>
    <w:rsid w:val="006716D2"/>
  </w:style>
  <w:style w:type="character" w:customStyle="1" w:styleId="WW8Num6z4">
    <w:name w:val="WW8Num6z4"/>
    <w:qFormat/>
    <w:rsid w:val="006716D2"/>
  </w:style>
  <w:style w:type="character" w:customStyle="1" w:styleId="WW8Num6z5">
    <w:name w:val="WW8Num6z5"/>
    <w:qFormat/>
    <w:rsid w:val="006716D2"/>
  </w:style>
  <w:style w:type="character" w:customStyle="1" w:styleId="WW8Num6z6">
    <w:name w:val="WW8Num6z6"/>
    <w:qFormat/>
    <w:rsid w:val="006716D2"/>
  </w:style>
  <w:style w:type="character" w:customStyle="1" w:styleId="WW8Num6z7">
    <w:name w:val="WW8Num6z7"/>
    <w:qFormat/>
    <w:rsid w:val="006716D2"/>
  </w:style>
  <w:style w:type="character" w:customStyle="1" w:styleId="WW8Num6z8">
    <w:name w:val="WW8Num6z8"/>
    <w:qFormat/>
    <w:rsid w:val="006716D2"/>
  </w:style>
  <w:style w:type="character" w:customStyle="1" w:styleId="WW8Num7z0">
    <w:name w:val="WW8Num7z0"/>
    <w:qFormat/>
    <w:rsid w:val="006716D2"/>
  </w:style>
  <w:style w:type="character" w:customStyle="1" w:styleId="WW8Num7z1">
    <w:name w:val="WW8Num7z1"/>
    <w:qFormat/>
    <w:rsid w:val="006716D2"/>
  </w:style>
  <w:style w:type="character" w:customStyle="1" w:styleId="WW8Num7z2">
    <w:name w:val="WW8Num7z2"/>
    <w:qFormat/>
    <w:rsid w:val="006716D2"/>
  </w:style>
  <w:style w:type="character" w:customStyle="1" w:styleId="WW8Num7z3">
    <w:name w:val="WW8Num7z3"/>
    <w:qFormat/>
    <w:rsid w:val="006716D2"/>
  </w:style>
  <w:style w:type="character" w:customStyle="1" w:styleId="WW8Num7z4">
    <w:name w:val="WW8Num7z4"/>
    <w:qFormat/>
    <w:rsid w:val="006716D2"/>
  </w:style>
  <w:style w:type="character" w:customStyle="1" w:styleId="WW8Num7z5">
    <w:name w:val="WW8Num7z5"/>
    <w:qFormat/>
    <w:rsid w:val="006716D2"/>
  </w:style>
  <w:style w:type="character" w:customStyle="1" w:styleId="WW8Num7z6">
    <w:name w:val="WW8Num7z6"/>
    <w:qFormat/>
    <w:rsid w:val="006716D2"/>
  </w:style>
  <w:style w:type="character" w:customStyle="1" w:styleId="WW8Num7z7">
    <w:name w:val="WW8Num7z7"/>
    <w:qFormat/>
    <w:rsid w:val="006716D2"/>
  </w:style>
  <w:style w:type="character" w:customStyle="1" w:styleId="WW8Num7z8">
    <w:name w:val="WW8Num7z8"/>
    <w:qFormat/>
    <w:rsid w:val="006716D2"/>
  </w:style>
  <w:style w:type="character" w:customStyle="1" w:styleId="WW8Num8z0">
    <w:name w:val="WW8Num8z0"/>
    <w:qFormat/>
    <w:rsid w:val="006716D2"/>
  </w:style>
  <w:style w:type="character" w:customStyle="1" w:styleId="WW8Num8z1">
    <w:name w:val="WW8Num8z1"/>
    <w:qFormat/>
    <w:rsid w:val="006716D2"/>
  </w:style>
  <w:style w:type="character" w:customStyle="1" w:styleId="WW8Num8z2">
    <w:name w:val="WW8Num8z2"/>
    <w:qFormat/>
    <w:rsid w:val="006716D2"/>
  </w:style>
  <w:style w:type="character" w:customStyle="1" w:styleId="WW8Num8z3">
    <w:name w:val="WW8Num8z3"/>
    <w:qFormat/>
    <w:rsid w:val="006716D2"/>
  </w:style>
  <w:style w:type="character" w:customStyle="1" w:styleId="WW8Num8z4">
    <w:name w:val="WW8Num8z4"/>
    <w:qFormat/>
    <w:rsid w:val="006716D2"/>
  </w:style>
  <w:style w:type="character" w:customStyle="1" w:styleId="WW8Num8z5">
    <w:name w:val="WW8Num8z5"/>
    <w:qFormat/>
    <w:rsid w:val="006716D2"/>
  </w:style>
  <w:style w:type="character" w:customStyle="1" w:styleId="WW8Num8z6">
    <w:name w:val="WW8Num8z6"/>
    <w:qFormat/>
    <w:rsid w:val="006716D2"/>
  </w:style>
  <w:style w:type="character" w:customStyle="1" w:styleId="WW8Num8z7">
    <w:name w:val="WW8Num8z7"/>
    <w:qFormat/>
    <w:rsid w:val="006716D2"/>
  </w:style>
  <w:style w:type="character" w:customStyle="1" w:styleId="WW8Num8z8">
    <w:name w:val="WW8Num8z8"/>
    <w:qFormat/>
    <w:rsid w:val="006716D2"/>
  </w:style>
  <w:style w:type="character" w:customStyle="1" w:styleId="WW8Num9z0">
    <w:name w:val="WW8Num9z0"/>
    <w:qFormat/>
    <w:rsid w:val="006716D2"/>
  </w:style>
  <w:style w:type="character" w:customStyle="1" w:styleId="WW8Num9z1">
    <w:name w:val="WW8Num9z1"/>
    <w:qFormat/>
    <w:rsid w:val="006716D2"/>
  </w:style>
  <w:style w:type="character" w:customStyle="1" w:styleId="WW8Num9z2">
    <w:name w:val="WW8Num9z2"/>
    <w:qFormat/>
    <w:rsid w:val="006716D2"/>
  </w:style>
  <w:style w:type="character" w:customStyle="1" w:styleId="WW8Num9z3">
    <w:name w:val="WW8Num9z3"/>
    <w:qFormat/>
    <w:rsid w:val="006716D2"/>
  </w:style>
  <w:style w:type="character" w:customStyle="1" w:styleId="WW8Num9z4">
    <w:name w:val="WW8Num9z4"/>
    <w:qFormat/>
    <w:rsid w:val="006716D2"/>
  </w:style>
  <w:style w:type="character" w:customStyle="1" w:styleId="WW8Num9z5">
    <w:name w:val="WW8Num9z5"/>
    <w:qFormat/>
    <w:rsid w:val="006716D2"/>
  </w:style>
  <w:style w:type="character" w:customStyle="1" w:styleId="WW8Num9z6">
    <w:name w:val="WW8Num9z6"/>
    <w:qFormat/>
    <w:rsid w:val="006716D2"/>
  </w:style>
  <w:style w:type="character" w:customStyle="1" w:styleId="WW8Num9z7">
    <w:name w:val="WW8Num9z7"/>
    <w:qFormat/>
    <w:rsid w:val="006716D2"/>
  </w:style>
  <w:style w:type="character" w:customStyle="1" w:styleId="WW8Num9z8">
    <w:name w:val="WW8Num9z8"/>
    <w:qFormat/>
    <w:rsid w:val="006716D2"/>
  </w:style>
  <w:style w:type="character" w:customStyle="1" w:styleId="WW8Num10z0">
    <w:name w:val="WW8Num10z0"/>
    <w:qFormat/>
    <w:rsid w:val="006716D2"/>
    <w:rPr>
      <w:rFonts w:ascii="Times New Roman" w:eastAsia="Times New Roman" w:hAnsi="Times New Roman" w:cs="Times New Roman"/>
      <w:sz w:val="28"/>
    </w:rPr>
  </w:style>
  <w:style w:type="character" w:customStyle="1" w:styleId="WW8Num10z1">
    <w:name w:val="WW8Num10z1"/>
    <w:qFormat/>
    <w:rsid w:val="006716D2"/>
  </w:style>
  <w:style w:type="character" w:customStyle="1" w:styleId="WW8Num10z2">
    <w:name w:val="WW8Num10z2"/>
    <w:qFormat/>
    <w:rsid w:val="006716D2"/>
  </w:style>
  <w:style w:type="character" w:customStyle="1" w:styleId="WW8Num10z3">
    <w:name w:val="WW8Num10z3"/>
    <w:qFormat/>
    <w:rsid w:val="006716D2"/>
  </w:style>
  <w:style w:type="character" w:customStyle="1" w:styleId="WW8Num10z4">
    <w:name w:val="WW8Num10z4"/>
    <w:qFormat/>
    <w:rsid w:val="006716D2"/>
  </w:style>
  <w:style w:type="character" w:customStyle="1" w:styleId="WW8Num10z5">
    <w:name w:val="WW8Num10z5"/>
    <w:qFormat/>
    <w:rsid w:val="006716D2"/>
  </w:style>
  <w:style w:type="character" w:customStyle="1" w:styleId="WW8Num10z6">
    <w:name w:val="WW8Num10z6"/>
    <w:qFormat/>
    <w:rsid w:val="006716D2"/>
  </w:style>
  <w:style w:type="character" w:customStyle="1" w:styleId="WW8Num10z7">
    <w:name w:val="WW8Num10z7"/>
    <w:qFormat/>
    <w:rsid w:val="006716D2"/>
  </w:style>
  <w:style w:type="character" w:customStyle="1" w:styleId="WW8Num10z8">
    <w:name w:val="WW8Num10z8"/>
    <w:qFormat/>
    <w:rsid w:val="006716D2"/>
  </w:style>
  <w:style w:type="character" w:customStyle="1" w:styleId="12">
    <w:name w:val="Основной шрифт абзаца1"/>
    <w:link w:val="13"/>
    <w:qFormat/>
    <w:rsid w:val="006716D2"/>
  </w:style>
  <w:style w:type="character" w:styleId="a4">
    <w:name w:val="Hyperlink"/>
    <w:rsid w:val="006716D2"/>
    <w:rPr>
      <w:color w:val="000080"/>
      <w:u w:val="single"/>
    </w:rPr>
  </w:style>
  <w:style w:type="character" w:customStyle="1" w:styleId="13">
    <w:name w:val="Заголовок 1 Знак"/>
    <w:basedOn w:val="a0"/>
    <w:link w:val="12"/>
    <w:qFormat/>
    <w:rsid w:val="00787CB6"/>
    <w:rPr>
      <w:b/>
      <w:sz w:val="48"/>
      <w:szCs w:val="48"/>
      <w:lang w:eastAsia="uk-UA" w:bidi="ar-SA"/>
    </w:rPr>
  </w:style>
  <w:style w:type="character" w:customStyle="1" w:styleId="20">
    <w:name w:val="Заголовок 2 Знак"/>
    <w:basedOn w:val="a0"/>
    <w:link w:val="20"/>
    <w:qFormat/>
    <w:rsid w:val="00787CB6"/>
    <w:rPr>
      <w:b/>
      <w:sz w:val="36"/>
      <w:szCs w:val="36"/>
      <w:lang w:eastAsia="uk-UA" w:bidi="ar-SA"/>
    </w:rPr>
  </w:style>
  <w:style w:type="character" w:customStyle="1" w:styleId="30">
    <w:name w:val="Заголовок 3 Знак"/>
    <w:basedOn w:val="a0"/>
    <w:link w:val="30"/>
    <w:qFormat/>
    <w:rsid w:val="00787CB6"/>
    <w:rPr>
      <w:b/>
      <w:sz w:val="28"/>
      <w:szCs w:val="28"/>
      <w:lang w:eastAsia="uk-UA" w:bidi="ar-SA"/>
    </w:rPr>
  </w:style>
  <w:style w:type="character" w:customStyle="1" w:styleId="40">
    <w:name w:val="Заголовок 4 Знак"/>
    <w:basedOn w:val="a0"/>
    <w:link w:val="40"/>
    <w:qFormat/>
    <w:rsid w:val="00787CB6"/>
    <w:rPr>
      <w:b/>
      <w:sz w:val="24"/>
      <w:szCs w:val="24"/>
      <w:lang w:eastAsia="uk-UA" w:bidi="ar-SA"/>
    </w:rPr>
  </w:style>
  <w:style w:type="character" w:customStyle="1" w:styleId="50">
    <w:name w:val="Заголовок 5 Знак"/>
    <w:basedOn w:val="a0"/>
    <w:link w:val="50"/>
    <w:qFormat/>
    <w:rsid w:val="00787CB6"/>
    <w:rPr>
      <w:b/>
      <w:sz w:val="22"/>
      <w:szCs w:val="22"/>
      <w:lang w:eastAsia="uk-UA" w:bidi="ar-SA"/>
    </w:rPr>
  </w:style>
  <w:style w:type="character" w:customStyle="1" w:styleId="60">
    <w:name w:val="Заголовок 6 Знак"/>
    <w:basedOn w:val="a0"/>
    <w:link w:val="60"/>
    <w:qFormat/>
    <w:rsid w:val="00787CB6"/>
    <w:rPr>
      <w:b/>
      <w:lang w:eastAsia="uk-UA" w:bidi="ar-SA"/>
    </w:rPr>
  </w:style>
  <w:style w:type="paragraph" w:customStyle="1" w:styleId="Heading">
    <w:name w:val="Heading"/>
    <w:next w:val="a5"/>
    <w:qFormat/>
    <w:rsid w:val="006716D2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5">
    <w:name w:val="Body Text"/>
    <w:rsid w:val="006716D2"/>
    <w:pPr>
      <w:spacing w:after="140" w:line="276" w:lineRule="auto"/>
    </w:pPr>
  </w:style>
  <w:style w:type="paragraph" w:styleId="a6">
    <w:name w:val="List"/>
    <w:basedOn w:val="a5"/>
    <w:rsid w:val="006716D2"/>
    <w:rPr>
      <w:rFonts w:cs="Noto Sans Devanagari"/>
    </w:rPr>
  </w:style>
  <w:style w:type="paragraph" w:customStyle="1" w:styleId="14">
    <w:name w:val="Название объекта1"/>
    <w:qFormat/>
    <w:rsid w:val="006716D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qFormat/>
    <w:rsid w:val="006716D2"/>
    <w:pPr>
      <w:suppressLineNumbers/>
    </w:pPr>
    <w:rPr>
      <w:rFonts w:cs="Noto Sans Devanagari"/>
    </w:rPr>
  </w:style>
  <w:style w:type="paragraph" w:styleId="a7">
    <w:name w:val="caption"/>
    <w:qFormat/>
    <w:rsid w:val="006716D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LO-normal">
    <w:name w:val="LO-normal"/>
    <w:qFormat/>
    <w:rsid w:val="006716D2"/>
    <w:pPr>
      <w:suppressAutoHyphens/>
    </w:pPr>
    <w:rPr>
      <w:lang w:eastAsia="zh-CN" w:bidi="hi-IN"/>
    </w:rPr>
  </w:style>
  <w:style w:type="paragraph" w:customStyle="1" w:styleId="TableContents">
    <w:name w:val="Table Contents"/>
    <w:qFormat/>
    <w:rsid w:val="006716D2"/>
    <w:pPr>
      <w:suppressLineNumbers/>
    </w:pPr>
  </w:style>
  <w:style w:type="paragraph" w:customStyle="1" w:styleId="TableHeading">
    <w:name w:val="Table Heading"/>
    <w:basedOn w:val="TableContents"/>
    <w:qFormat/>
    <w:rsid w:val="006716D2"/>
    <w:pPr>
      <w:jc w:val="center"/>
    </w:pPr>
    <w:rPr>
      <w:b/>
      <w:bCs/>
    </w:rPr>
  </w:style>
  <w:style w:type="paragraph" w:customStyle="1" w:styleId="FrameContents">
    <w:name w:val="Frame Contents"/>
    <w:qFormat/>
    <w:rsid w:val="006716D2"/>
  </w:style>
  <w:style w:type="paragraph" w:styleId="a8">
    <w:name w:val="List Paragraph"/>
    <w:uiPriority w:val="34"/>
    <w:qFormat/>
    <w:rsid w:val="008729EB"/>
    <w:pPr>
      <w:ind w:left="720"/>
      <w:contextualSpacing/>
    </w:pPr>
    <w:rPr>
      <w:rFonts w:cs="Mangal"/>
      <w:szCs w:val="18"/>
    </w:rPr>
  </w:style>
  <w:style w:type="paragraph" w:styleId="a9">
    <w:name w:val="Normal (Web)"/>
    <w:qFormat/>
    <w:rsid w:val="006716D2"/>
    <w:pPr>
      <w:spacing w:before="280" w:after="280"/>
    </w:pPr>
  </w:style>
  <w:style w:type="paragraph" w:customStyle="1" w:styleId="LO-normal1">
    <w:name w:val="LO-normal1"/>
    <w:qFormat/>
    <w:rsid w:val="008E1CF9"/>
  </w:style>
  <w:style w:type="table" w:customStyle="1" w:styleId="TableNormal2">
    <w:name w:val="Table Normal"/>
    <w:rsid w:val="006716D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583D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rsid w:val="00583D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583D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rsid w:val="00583D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rsid w:val="00583D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link w:val="af0"/>
    <w:uiPriority w:val="99"/>
    <w:semiHidden/>
    <w:unhideWhenUsed/>
    <w:rsid w:val="00F10692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10692"/>
    <w:rPr>
      <w:rFonts w:ascii="Tahoma" w:hAnsi="Tahoma" w:cs="Mangal"/>
      <w:sz w:val="16"/>
      <w:szCs w:val="14"/>
      <w:lang w:eastAsia="zh-CN" w:bidi="hi-IN"/>
    </w:rPr>
  </w:style>
  <w:style w:type="paragraph" w:styleId="af1">
    <w:name w:val="header"/>
    <w:link w:val="af2"/>
    <w:uiPriority w:val="99"/>
    <w:semiHidden/>
    <w:unhideWhenUsed/>
    <w:rsid w:val="00100CFE"/>
    <w:pPr>
      <w:tabs>
        <w:tab w:val="center" w:pos="4819"/>
        <w:tab w:val="right" w:pos="9639"/>
      </w:tabs>
    </w:pPr>
    <w:rPr>
      <w:rFonts w:cs="Mangal"/>
      <w:szCs w:val="18"/>
    </w:rPr>
  </w:style>
  <w:style w:type="character" w:customStyle="1" w:styleId="af2">
    <w:name w:val="Верхній колонтитул Знак"/>
    <w:basedOn w:val="a0"/>
    <w:link w:val="af1"/>
    <w:uiPriority w:val="99"/>
    <w:semiHidden/>
    <w:rsid w:val="00100CFE"/>
    <w:rPr>
      <w:rFonts w:cs="Mangal"/>
      <w:szCs w:val="18"/>
      <w:lang w:eastAsia="zh-CN" w:bidi="hi-IN"/>
    </w:rPr>
  </w:style>
  <w:style w:type="paragraph" w:styleId="af3">
    <w:name w:val="footer"/>
    <w:link w:val="af4"/>
    <w:uiPriority w:val="99"/>
    <w:semiHidden/>
    <w:unhideWhenUsed/>
    <w:rsid w:val="00100CFE"/>
    <w:pPr>
      <w:tabs>
        <w:tab w:val="center" w:pos="4819"/>
        <w:tab w:val="right" w:pos="9639"/>
      </w:tabs>
    </w:pPr>
    <w:rPr>
      <w:rFonts w:cs="Mangal"/>
      <w:szCs w:val="18"/>
    </w:rPr>
  </w:style>
  <w:style w:type="character" w:customStyle="1" w:styleId="af4">
    <w:name w:val="Нижній колонтитул Знак"/>
    <w:basedOn w:val="a0"/>
    <w:link w:val="af3"/>
    <w:uiPriority w:val="99"/>
    <w:semiHidden/>
    <w:rsid w:val="00100CFE"/>
    <w:rPr>
      <w:rFonts w:cs="Mangal"/>
      <w:szCs w:val="18"/>
      <w:lang w:eastAsia="zh-CN" w:bidi="hi-IN"/>
    </w:rPr>
  </w:style>
  <w:style w:type="table" w:customStyle="1" w:styleId="af5">
    <w:basedOn w:val="TableNormal1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normal"/>
    <w:next w:val="normal"/>
    <w:rsid w:val="00345B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345B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nuir.vnu.edu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rary.vnu.edu.ua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cs.v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-cs.vn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scdXwW5o3w+y4ARVJYNKULTDA==">CgMxLjAyCWlkLmdqZGd4czIIaC5namRneHMyCmlkLjFmb2I5dGUyCmlkLjN6bnlzaDcyCmlkLjF0M2g1c2YyCmlkLjRkMzRvZzgyCmlkLjE3ZHA4dnUyCmlkLjNyZGNyam4yCmlkLjI2aW4xcmcyCWlkLmxueGJ6OTIKaWQuMzVua3VuMjIKaWQuMWtzdjR1djIKaWQuNDRzaW5pbzIKaWQuMmp4c3hxaDIJaWQuejMzN3lhMgloLjNqMnFxbTMyCWguMzBqMHpsbDgAciExU01VLTROVnhxY0FkTnk3dm96Vk41TU1rMFBKUlRza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20139</Words>
  <Characters>11480</Characters>
  <Application>Microsoft Office Word</Application>
  <DocSecurity>0</DocSecurity>
  <Lines>95</Lines>
  <Paragraphs>63</Paragraphs>
  <ScaleCrop>false</ScaleCrop>
  <Company/>
  <LinksUpToDate>false</LinksUpToDate>
  <CharactersWithSpaces>31556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2020-11-10T18:52:00Z</dcterms:created>
  <dcterms:modified xsi:type="dcterms:W3CDTF">2025-10-23T07:57:00Z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